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AB56F0" w:rsidP="00687E69">
      <w:pPr>
        <w:rPr>
          <w:rFonts w:ascii="Arial" w:hAnsi="Arial"/>
          <w:sz w:val="24"/>
        </w:rPr>
      </w:pPr>
      <w:r w:rsidRPr="00AB56F0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AB56F0" w:rsidP="003F0DE1">
      <w:pPr>
        <w:jc w:val="center"/>
        <w:rPr>
          <w:b/>
          <w:sz w:val="14"/>
          <w:szCs w:val="14"/>
        </w:rPr>
      </w:pPr>
      <w:r w:rsidRPr="00AB56F0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AB56F0" w:rsidP="00591124">
      <w:pPr>
        <w:jc w:val="both"/>
        <w:rPr>
          <w:rStyle w:val="a8"/>
          <w:i w:val="0"/>
        </w:rPr>
      </w:pPr>
      <w:r w:rsidRPr="00AB56F0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3264E8" w:rsidRPr="003264E8" w:rsidRDefault="003264E8" w:rsidP="003264E8">
      <w:pPr>
        <w:spacing w:line="293" w:lineRule="atLeast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 w:rsidRPr="003264E8">
        <w:rPr>
          <w:b/>
          <w:bCs/>
          <w:color w:val="333333"/>
          <w:kern w:val="36"/>
          <w:sz w:val="28"/>
          <w:szCs w:val="28"/>
        </w:rPr>
        <w:t>Перечень антикоррупционных мероприятий ООО ЧОО «АКУЛА-БЕЗОПАСНОСТЬ»</w:t>
      </w:r>
    </w:p>
    <w:p w:rsidR="003264E8" w:rsidRPr="003264E8" w:rsidRDefault="003264E8" w:rsidP="003264E8">
      <w:pPr>
        <w:spacing w:line="293" w:lineRule="atLeast"/>
        <w:outlineLvl w:val="0"/>
        <w:rPr>
          <w:rFonts w:ascii="Arial" w:hAnsi="Arial" w:cs="Arial"/>
          <w:b/>
          <w:bCs/>
          <w:color w:val="333333"/>
          <w:kern w:val="36"/>
          <w:sz w:val="23"/>
          <w:szCs w:val="23"/>
        </w:rPr>
      </w:pPr>
    </w:p>
    <w:p w:rsidR="003264E8" w:rsidRPr="003264E8" w:rsidRDefault="003264E8" w:rsidP="003264E8">
      <w:pPr>
        <w:spacing w:line="293" w:lineRule="atLeast"/>
        <w:outlineLvl w:val="0"/>
        <w:rPr>
          <w:rFonts w:ascii="Arial" w:hAnsi="Arial" w:cs="Arial"/>
          <w:b/>
          <w:bCs/>
          <w:color w:val="333333"/>
          <w:kern w:val="36"/>
          <w:sz w:val="23"/>
          <w:szCs w:val="2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3"/>
        <w:gridCol w:w="7625"/>
      </w:tblGrid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3264E8">
              <w:rPr>
                <w:b/>
                <w:bCs/>
                <w:color w:val="333333"/>
                <w:sz w:val="24"/>
                <w:szCs w:val="24"/>
              </w:rPr>
              <w:t>Направление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3264E8">
              <w:rPr>
                <w:b/>
                <w:bCs/>
                <w:color w:val="333333"/>
                <w:sz w:val="24"/>
                <w:szCs w:val="24"/>
              </w:rPr>
              <w:t>Мероприятие</w:t>
            </w:r>
          </w:p>
        </w:tc>
      </w:tr>
      <w:tr w:rsidR="003264E8" w:rsidRPr="003264E8" w:rsidTr="00AC5B38">
        <w:trPr>
          <w:trHeight w:val="710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Нормативное обеспечение, закрепление стандартов поведения и декларация намерений.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Разработка и принятие кодекса этики и служебного поведения работников организации.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Разработка и внедрение положения о конфликте интересов, декларации о конфликте интересов.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Присоединение к Антикоррупционной </w:t>
            </w:r>
            <w:hyperlink r:id="rId9" w:history="1">
              <w:r w:rsidRPr="003264E8">
                <w:rPr>
                  <w:b/>
                  <w:sz w:val="24"/>
                  <w:szCs w:val="24"/>
                  <w:u w:val="single"/>
                </w:rPr>
                <w:t>хартии</w:t>
              </w:r>
            </w:hyperlink>
            <w:r w:rsidRPr="003264E8">
              <w:rPr>
                <w:sz w:val="24"/>
                <w:szCs w:val="24"/>
              </w:rPr>
              <w:t> российского бизнеса.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в договоры, связанные с хозяйственной деятельностью организации, стандартной антикоррупционной оговорки.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антикоррупционных положений в трудовые договора работников.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 xml:space="preserve">Разработка и введение специальных </w:t>
            </w:r>
            <w:r w:rsidRPr="003264E8">
              <w:rPr>
                <w:b/>
                <w:sz w:val="24"/>
                <w:szCs w:val="24"/>
              </w:rPr>
              <w:lastRenderedPageBreak/>
              <w:t>антикоррупционных процедур.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lastRenderedPageBreak/>
              <w:t xml:space="preserve"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</w:t>
            </w:r>
            <w:r w:rsidRPr="003264E8">
              <w:rPr>
                <w:sz w:val="24"/>
                <w:szCs w:val="24"/>
              </w:rPr>
              <w:lastRenderedPageBreak/>
              <w:t>каналов передачи обозначенной информации (механизмов "обратной связи", телефона доверия и т.п.).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proofErr w:type="gramStart"/>
            <w:r w:rsidRPr="003264E8">
              <w:rPr>
                <w:sz w:val="24"/>
                <w:szCs w:val="24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  <w:proofErr w:type="gramEnd"/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Ежегодное заполнение декларации о конфликте интересов.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мер.</w:t>
            </w:r>
          </w:p>
        </w:tc>
      </w:tr>
      <w:tr w:rsidR="003264E8" w:rsidRPr="003264E8" w:rsidTr="00AC5B38">
        <w:trPr>
          <w:trHeight w:val="502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after="250"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Ротация работников, занимающих должности, связанные с высоким коррупционным риском.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Обучение и информирование работников.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 xml:space="preserve">Привлечение </w:t>
            </w:r>
            <w:r w:rsidRPr="003264E8">
              <w:rPr>
                <w:b/>
                <w:sz w:val="24"/>
                <w:szCs w:val="24"/>
              </w:rPr>
              <w:lastRenderedPageBreak/>
              <w:t>экспертов.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lastRenderedPageBreak/>
              <w:t>Периодическое проведение внешнего аудита.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Привлечение внешних независимых экспертов при осуществлении хозяйственной деятельности организации и организации антикоррупционных мер.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Оценка результатов проводимой антикоррупционной работы и распространение отчетных материалов.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Проведение регулярной оценки результатов работы по противодействию коррупции.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коррупции.</w:t>
            </w:r>
          </w:p>
        </w:tc>
      </w:tr>
    </w:tbl>
    <w:p w:rsidR="00591124" w:rsidRPr="00591124" w:rsidRDefault="00591124" w:rsidP="00591124">
      <w:pPr>
        <w:rPr>
          <w:rFonts w:ascii="Arial" w:hAnsi="Arial"/>
          <w:sz w:val="24"/>
        </w:rPr>
      </w:pP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  <w:bookmarkStart w:id="0" w:name="_GoBack"/>
      <w:bookmarkEnd w:id="0"/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3F4238" w:rsidRPr="00634ACA" w:rsidRDefault="003F4238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  <w:r w:rsidRPr="003F4238">
        <w:rPr>
          <w:b/>
          <w:sz w:val="28"/>
          <w:szCs w:val="28"/>
        </w:rPr>
        <w:t xml:space="preserve">Генеральный директор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="003112B5">
        <w:rPr>
          <w:b/>
          <w:sz w:val="28"/>
          <w:szCs w:val="28"/>
        </w:rPr>
        <w:t>Д.В. Финкин</w:t>
      </w:r>
    </w:p>
    <w:p w:rsidR="00687E69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Default="003264E8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Pr="003264E8" w:rsidRDefault="003264E8" w:rsidP="00591124">
      <w:pPr>
        <w:tabs>
          <w:tab w:val="left" w:pos="2745"/>
        </w:tabs>
        <w:rPr>
          <w:b/>
          <w:sz w:val="24"/>
        </w:rPr>
      </w:pPr>
      <w:r w:rsidRPr="003264E8">
        <w:rPr>
          <w:b/>
          <w:sz w:val="24"/>
        </w:rPr>
        <w:t>М.П.</w:t>
      </w:r>
    </w:p>
    <w:sectPr w:rsidR="003264E8" w:rsidRPr="003264E8" w:rsidSect="00CE085B">
      <w:type w:val="continuous"/>
      <w:pgSz w:w="11909" w:h="16834"/>
      <w:pgMar w:top="1440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70F86"/>
    <w:rsid w:val="002723B0"/>
    <w:rsid w:val="00296AC9"/>
    <w:rsid w:val="002B37F9"/>
    <w:rsid w:val="002D03E0"/>
    <w:rsid w:val="002D7BC6"/>
    <w:rsid w:val="003112B5"/>
    <w:rsid w:val="003204F9"/>
    <w:rsid w:val="003264E8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B05"/>
    <w:rsid w:val="007679B0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AB56F0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metodicheskie-rekomendatsii-po-razrabotke-i-priniatiiu-organizatsiiami/prilozhenie-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15</cp:revision>
  <cp:lastPrinted>2022-01-26T06:24:00Z</cp:lastPrinted>
  <dcterms:created xsi:type="dcterms:W3CDTF">2018-11-29T10:44:00Z</dcterms:created>
  <dcterms:modified xsi:type="dcterms:W3CDTF">2022-01-26T06:25:00Z</dcterms:modified>
</cp:coreProperties>
</file>